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9761" w14:textId="4062A840" w:rsidR="006F2BA7" w:rsidRPr="00080332" w:rsidRDefault="006F2BA7" w:rsidP="00BB1FF4">
      <w:pPr>
        <w:bidi/>
        <w:spacing w:after="0" w:line="240" w:lineRule="auto"/>
        <w:jc w:val="center"/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اطلاعیه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</w:t>
      </w:r>
      <w:r w:rsidR="0022766E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13</w:t>
      </w:r>
      <w:r w:rsidR="00BE13D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080332">
        <w:rPr>
          <w:rFonts w:cs="B Nazanin"/>
          <w:bCs/>
          <w:color w:val="002060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ایمنی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cs="B Nazanin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cs="B Nazanin" w:hint="cs"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3041A4A4" w14:textId="6ADEEE59" w:rsidR="007D570E" w:rsidRPr="006F2BA7" w:rsidRDefault="007D570E" w:rsidP="00004287">
      <w:pPr>
        <w:spacing w:after="0" w:line="240" w:lineRule="auto"/>
        <w:jc w:val="center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تاریخ</w:t>
      </w:r>
      <w:r w:rsidRPr="006F2BA7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E83688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03</w:t>
      </w:r>
      <w:bookmarkStart w:id="0" w:name="_GoBack"/>
      <w:bookmarkEnd w:id="0"/>
      <w:r w:rsidR="0022766E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DF10F9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 w:rsidR="00E83688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222662" w:rsidRPr="006F2BA7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/140</w:t>
      </w:r>
      <w:r w:rsidR="00DF10F9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4E069FA1" w14:textId="6A2FC92C" w:rsidR="007D570E" w:rsidRPr="00EB6AAA" w:rsidRDefault="007F1942" w:rsidP="009E783B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FF0000"/>
          <w:sz w:val="28"/>
          <w:szCs w:val="28"/>
          <w:rtl/>
          <w:lang w:bidi="fa-IR"/>
        </w:rPr>
      </w:pPr>
      <w:r w:rsidRPr="00EB6AAA">
        <w:rPr>
          <w:rFonts w:cs="B Nazanin" w:hint="cs"/>
          <w:b/>
          <w:bCs/>
          <w:color w:val="FF0000"/>
          <w:sz w:val="28"/>
          <w:szCs w:val="28"/>
          <w:rtl/>
        </w:rPr>
        <w:t xml:space="preserve">هشدار در خصوص </w:t>
      </w:r>
      <w:r w:rsidR="009E783B" w:rsidRPr="00EB6AAA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نکات مصرف داروی آنتی تیموسیت</w:t>
      </w:r>
      <w:r w:rsidR="009E783B" w:rsidRPr="00EB6AAA">
        <w:rPr>
          <w:rFonts w:ascii="Times New Roman" w:hAnsi="Times New Roman" w:cs="B Nazanin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8C6503" w:rsidRPr="00EB6AAA">
        <w:rPr>
          <w:rFonts w:ascii="Times New Roman" w:hAnsi="Times New Roman" w:cs="B Nazanin" w:hint="cs"/>
          <w:b/>
          <w:bCs/>
          <w:color w:val="FF0000"/>
          <w:sz w:val="28"/>
          <w:szCs w:val="28"/>
          <w:rtl/>
          <w:lang w:bidi="fa-IR"/>
        </w:rPr>
        <w:t>گلوبولین تزریقی</w:t>
      </w:r>
    </w:p>
    <w:p w14:paraId="40C8ADA3" w14:textId="77777777" w:rsidR="00C65CC6" w:rsidRDefault="00C65CC6" w:rsidP="00C65CC6">
      <w:pPr>
        <w:bidi/>
        <w:spacing w:after="0" w:line="240" w:lineRule="auto"/>
        <w:jc w:val="both"/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26B083" w14:textId="5DAC5486" w:rsidR="007D570E" w:rsidRPr="009E783B" w:rsidRDefault="009E783B" w:rsidP="00512EDE">
      <w:pPr>
        <w:bidi/>
        <w:spacing w:after="0" w:line="276" w:lineRule="auto"/>
        <w:jc w:val="lowKashida"/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 w:rsidR="007D570E"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</w:t>
      </w:r>
      <w:r w:rsidR="007D570E"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اطلاع</w:t>
      </w:r>
      <w:r w:rsidR="007D570E"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جامعه</w:t>
      </w:r>
      <w:r w:rsidR="007D570E" w:rsidRPr="005C060F">
        <w:rPr>
          <w:rFonts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می‌رساند،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دفتر نظارت و پایش مصرف </w:t>
      </w:r>
      <w:r w:rsidR="00DF10F9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</w:t>
      </w:r>
      <w:r w:rsidR="00537C14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ده‌های سلامت</w:t>
      </w:r>
      <w:r w:rsidR="00C65CC6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="007D570E" w:rsidRPr="005C060F">
        <w:rPr>
          <w:rFonts w:ascii="Times New Roman" w:hAnsi="Times New Roman" w:cs="B Nazanin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5C060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</w:t>
      </w:r>
      <w:r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‌هایی مبنی بر عوارض ناخواسته به دنبال مصرف فرآورده آنتی تیموسیت</w:t>
      </w:r>
      <w:r w:rsidR="00EB6AAA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گلوبولین</w:t>
      </w:r>
      <w:r w:rsidR="00DD4A33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خرگوشی</w:t>
      </w:r>
      <w:r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دریافت نموده که در بسیاری از موارد با به کارگیری نکات ایمنی</w:t>
      </w:r>
      <w:r w:rsidR="00EB6AAA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توصیه شده توسط منابع علمی و راهنمای مصرف بروشور فرآورده،</w:t>
      </w:r>
      <w:r w:rsidR="00163FAF"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B Nazanin" w:hint="cs"/>
          <w:color w:val="000000" w:themeColor="text1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احتمال وقوع عارضه ناخواسته در بیماران کاهش می یابد.</w:t>
      </w:r>
    </w:p>
    <w:p w14:paraId="2A047B15" w14:textId="77777777" w:rsidR="0064098E" w:rsidRDefault="0064098E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B269AA" w14:textId="66D4071C" w:rsidR="007D570E" w:rsidRDefault="007D570E" w:rsidP="0064098E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توصیه‌های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عملی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برای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پیشگیری</w:t>
      </w:r>
      <w:r w:rsidR="008C6503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از وقوع عوارض ناخواسته ف</w:t>
      </w:r>
      <w:r w:rsidR="008C6503" w:rsidRPr="00DD4A33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رآورده</w:t>
      </w:r>
      <w:r w:rsidR="00DD4A33" w:rsidRPr="00DD4A33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="00DD4A33" w:rsidRPr="00DD4A33">
        <w:rPr>
          <w:rFonts w:cs="B Nazanin" w:hint="cs"/>
          <w:b/>
          <w:bCs/>
          <w:color w:val="002060"/>
          <w:sz w:val="28"/>
          <w:szCs w:val="28"/>
          <w:rtl/>
          <w:lang w:bidi="fa-IR"/>
        </w:rPr>
        <w:t>آنتی تیموسیت</w:t>
      </w:r>
      <w:r w:rsidR="00DD4A33" w:rsidRPr="00DD4A33">
        <w:rPr>
          <w:rFonts w:ascii="Times New Roman" w:hAnsi="Times New Roman" w:cs="B Nazanin" w:hint="cs"/>
          <w:b/>
          <w:bCs/>
          <w:color w:val="002060"/>
          <w:sz w:val="28"/>
          <w:szCs w:val="28"/>
          <w:rtl/>
          <w:lang w:bidi="fa-IR"/>
        </w:rPr>
        <w:t xml:space="preserve"> گلوبولین</w:t>
      </w:r>
      <w:r w:rsidR="00DD4A33" w:rsidRPr="00DD4A33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D4A33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خرگوشی:</w:t>
      </w:r>
    </w:p>
    <w:p w14:paraId="1941D832" w14:textId="60631D0A" w:rsidR="009E783B" w:rsidRPr="009B5C12" w:rsidRDefault="009E783B" w:rsidP="00512EDE">
      <w:pPr>
        <w:shd w:val="clear" w:color="auto" w:fill="FFFFFF"/>
        <w:bidi/>
        <w:jc w:val="both"/>
        <w:rPr>
          <w:rFonts w:eastAsia="Times New Roman" w:cs="B Nazanin"/>
          <w:b/>
          <w:bCs/>
          <w:color w:val="222222"/>
          <w:u w:val="single"/>
        </w:rPr>
      </w:pPr>
      <w:r w:rsidRPr="009B5C12">
        <w:rPr>
          <w:rFonts w:eastAsia="Times New Roman" w:cs="B Nazanin" w:hint="cs"/>
          <w:b/>
          <w:bCs/>
          <w:color w:val="222222"/>
          <w:u w:val="single"/>
          <w:rtl/>
        </w:rPr>
        <w:t>نکات نحوه انفوزیون</w:t>
      </w:r>
    </w:p>
    <w:p w14:paraId="0E0FA526" w14:textId="1AEDB0BC" w:rsidR="009E783B" w:rsidRPr="001C63A6" w:rsidRDefault="009E783B" w:rsidP="00A928D0">
      <w:pPr>
        <w:pStyle w:val="ListParagraph"/>
        <w:numPr>
          <w:ilvl w:val="0"/>
          <w:numId w:val="19"/>
        </w:numPr>
        <w:shd w:val="clear" w:color="auto" w:fill="FFFFFF"/>
        <w:bidi/>
        <w:spacing w:after="0" w:line="276" w:lineRule="auto"/>
        <w:jc w:val="lowKashida"/>
        <w:rPr>
          <w:rFonts w:eastAsia="Times New Roman" w:cs="B Nazanin"/>
          <w:color w:val="222222"/>
          <w:rtl/>
        </w:rPr>
      </w:pPr>
      <w:r w:rsidRPr="001C63A6">
        <w:rPr>
          <w:rFonts w:eastAsia="Times New Roman" w:cs="B Nazanin" w:hint="cs"/>
          <w:color w:val="222222"/>
          <w:rtl/>
        </w:rPr>
        <w:t xml:space="preserve">این فرآورده باید از طریق ورید با جریان بالا </w:t>
      </w:r>
      <w:r w:rsidR="00122C09">
        <w:rPr>
          <w:rFonts w:eastAsia="Times New Roman" w:cs="B Nazanin" w:hint="cs"/>
          <w:color w:val="222222"/>
          <w:rtl/>
        </w:rPr>
        <w:t xml:space="preserve">( ورید مرکزی) </w:t>
      </w:r>
      <w:r w:rsidRPr="001C63A6">
        <w:rPr>
          <w:rFonts w:eastAsia="Times New Roman" w:cs="B Nazanin" w:hint="cs"/>
          <w:color w:val="222222"/>
          <w:rtl/>
        </w:rPr>
        <w:t xml:space="preserve">انفوزیون شود. </w:t>
      </w:r>
      <w:r w:rsidR="00A928D0">
        <w:rPr>
          <w:rFonts w:eastAsia="Times New Roman" w:cs="B Nazanin" w:hint="cs"/>
          <w:color w:val="222222"/>
          <w:rtl/>
        </w:rPr>
        <w:t xml:space="preserve">در پیوند کلیه </w:t>
      </w:r>
      <w:r w:rsidR="00DD4A33">
        <w:rPr>
          <w:rFonts w:eastAsia="Times New Roman" w:cs="B Nazanin" w:hint="cs"/>
          <w:color w:val="222222"/>
          <w:rtl/>
        </w:rPr>
        <w:t xml:space="preserve">در صورت تجویز از ورید محیطی، </w:t>
      </w:r>
      <w:r w:rsidRPr="001C63A6">
        <w:rPr>
          <w:rFonts w:eastAsia="Times New Roman" w:cs="B Nazanin" w:hint="cs"/>
          <w:color w:val="222222"/>
          <w:rtl/>
        </w:rPr>
        <w:t>افزودن</w:t>
      </w:r>
      <w:r w:rsidR="00122C09">
        <w:rPr>
          <w:rFonts w:eastAsia="Times New Roman" w:cs="B Nazanin" w:hint="cs"/>
          <w:color w:val="222222"/>
          <w:rtl/>
        </w:rPr>
        <w:t xml:space="preserve"> 1000 واحد هپارین و 20</w:t>
      </w:r>
      <w:r w:rsidRPr="001C63A6">
        <w:rPr>
          <w:rFonts w:eastAsia="Times New Roman" w:cs="B Nazanin" w:hint="cs"/>
          <w:color w:val="222222"/>
          <w:rtl/>
        </w:rPr>
        <w:t xml:space="preserve"> میلی گرم هیدروکورتیزون وریدی در محلول انفوزیون</w:t>
      </w:r>
      <w:r w:rsidR="00DD4A33">
        <w:rPr>
          <w:rFonts w:eastAsia="Times New Roman" w:cs="B Nazanin" w:hint="cs"/>
          <w:color w:val="222222"/>
          <w:rtl/>
        </w:rPr>
        <w:t xml:space="preserve"> حاوی</w:t>
      </w:r>
      <w:r w:rsidRPr="001C63A6">
        <w:rPr>
          <w:rFonts w:eastAsia="Times New Roman" w:cs="B Nazanin" w:hint="cs"/>
          <w:color w:val="222222"/>
          <w:rtl/>
        </w:rPr>
        <w:t xml:space="preserve"> </w:t>
      </w:r>
      <w:r w:rsidR="00DD4A33">
        <w:rPr>
          <w:rFonts w:eastAsia="Times New Roman" w:cs="B Nazanin" w:hint="cs"/>
          <w:color w:val="222222"/>
          <w:rtl/>
        </w:rPr>
        <w:t>500 میلی لیتر محلول</w:t>
      </w:r>
      <w:r w:rsidRPr="001C63A6">
        <w:rPr>
          <w:rFonts w:eastAsia="Times New Roman" w:cs="B Nazanin" w:hint="cs"/>
          <w:color w:val="222222"/>
          <w:rtl/>
        </w:rPr>
        <w:t xml:space="preserve"> نرمال سالین احتمال بروز </w:t>
      </w:r>
      <w:r w:rsidR="00122C09">
        <w:rPr>
          <w:rFonts w:eastAsia="Times New Roman" w:cs="B Nazanin" w:hint="cs"/>
          <w:color w:val="222222"/>
          <w:rtl/>
        </w:rPr>
        <w:t>ترومبوز و فلبیت</w:t>
      </w:r>
      <w:r w:rsidRPr="001C63A6">
        <w:rPr>
          <w:rFonts w:eastAsia="Times New Roman" w:cs="B Nazanin" w:hint="cs"/>
          <w:color w:val="222222"/>
          <w:rtl/>
        </w:rPr>
        <w:t xml:space="preserve"> را کاهش می</w:t>
      </w:r>
      <w:r w:rsidR="000B0934">
        <w:rPr>
          <w:rFonts w:eastAsia="Times New Roman" w:cs="B Nazanin" w:hint="cs"/>
          <w:color w:val="222222"/>
          <w:rtl/>
        </w:rPr>
        <w:t>‌</w:t>
      </w:r>
      <w:r w:rsidRPr="001C63A6">
        <w:rPr>
          <w:rFonts w:eastAsia="Times New Roman" w:cs="B Nazanin" w:hint="cs"/>
          <w:color w:val="222222"/>
          <w:rtl/>
        </w:rPr>
        <w:t>دهد.</w:t>
      </w:r>
    </w:p>
    <w:p w14:paraId="093F5203" w14:textId="77777777" w:rsidR="009E783B" w:rsidRPr="001C63A6" w:rsidRDefault="009E783B" w:rsidP="001C63A6">
      <w:pPr>
        <w:pStyle w:val="ListParagraph"/>
        <w:numPr>
          <w:ilvl w:val="0"/>
          <w:numId w:val="19"/>
        </w:numPr>
        <w:shd w:val="clear" w:color="auto" w:fill="FFFFFF"/>
        <w:bidi/>
        <w:spacing w:after="0" w:line="276" w:lineRule="auto"/>
        <w:jc w:val="lowKashida"/>
        <w:rPr>
          <w:rFonts w:eastAsia="Times New Roman" w:cs="B Nazanin"/>
          <w:color w:val="222222"/>
        </w:rPr>
      </w:pPr>
      <w:r w:rsidRPr="001C63A6">
        <w:rPr>
          <w:rFonts w:eastAsia="Times New Roman" w:cs="B Nazanin" w:hint="cs"/>
          <w:color w:val="222222"/>
          <w:rtl/>
        </w:rPr>
        <w:t>ترکیب آنتی تیموسیت گلوبولین خرگوشی با هپارین و هیدروکورتیزون در محلول دکستروز باعث رسوب شده و توصیه نمی‌شود.</w:t>
      </w:r>
    </w:p>
    <w:p w14:paraId="5D3A0133" w14:textId="11AAB0C2" w:rsidR="009E783B" w:rsidRPr="001C63A6" w:rsidRDefault="00A928D0" w:rsidP="004958F6">
      <w:pPr>
        <w:pStyle w:val="ListParagraph"/>
        <w:numPr>
          <w:ilvl w:val="0"/>
          <w:numId w:val="19"/>
        </w:numPr>
        <w:shd w:val="clear" w:color="auto" w:fill="FFFFFF"/>
        <w:bidi/>
        <w:spacing w:after="0" w:line="276" w:lineRule="auto"/>
        <w:jc w:val="lowKashida"/>
        <w:rPr>
          <w:rFonts w:eastAsia="Times New Roman" w:cs="B Nazanin"/>
          <w:color w:val="222222"/>
        </w:rPr>
      </w:pPr>
      <w:r>
        <w:rPr>
          <w:rFonts w:eastAsia="Times New Roman" w:cs="B Nazanin" w:hint="cs"/>
          <w:color w:val="222222"/>
          <w:rtl/>
          <w:lang w:bidi="fa-IR"/>
        </w:rPr>
        <w:t xml:space="preserve">دوز اول طی حداقل 6 ساعت و دوزهای بعدی طی حداقل 4 ساعت تزریق شود. سرعت انفوزیون در کاربرد های </w:t>
      </w:r>
      <w:r w:rsidRPr="000B0934">
        <w:rPr>
          <w:rFonts w:asciiTheme="majorBidi" w:eastAsia="Times New Roman" w:hAnsiTheme="majorBidi" w:cstheme="majorBidi"/>
          <w:color w:val="222222"/>
          <w:lang w:bidi="fa-IR"/>
        </w:rPr>
        <w:t>off-label</w:t>
      </w:r>
      <w:r w:rsidRPr="000B0934">
        <w:rPr>
          <w:rFonts w:asciiTheme="majorBidi" w:eastAsia="Times New Roman" w:hAnsiTheme="majorBidi" w:cstheme="majorBidi"/>
          <w:color w:val="222222"/>
          <w:rtl/>
          <w:lang w:bidi="fa-IR"/>
        </w:rPr>
        <w:t xml:space="preserve"> </w:t>
      </w:r>
      <w:r w:rsidR="00512EDE">
        <w:rPr>
          <w:rFonts w:eastAsia="Times New Roman" w:cs="B Nazanin" w:hint="cs"/>
          <w:color w:val="222222"/>
          <w:rtl/>
          <w:lang w:bidi="fa-IR"/>
        </w:rPr>
        <w:t>ممکن است در بازه‌</w:t>
      </w:r>
      <w:r>
        <w:rPr>
          <w:rFonts w:eastAsia="Times New Roman" w:cs="B Nazanin" w:hint="cs"/>
          <w:color w:val="222222"/>
          <w:rtl/>
          <w:lang w:bidi="fa-IR"/>
        </w:rPr>
        <w:t>های مختلفی</w:t>
      </w:r>
      <w:r w:rsidR="00512EDE">
        <w:rPr>
          <w:rFonts w:eastAsia="Times New Roman" w:cs="B Nazanin" w:hint="cs"/>
          <w:color w:val="222222"/>
          <w:rtl/>
          <w:lang w:bidi="fa-IR"/>
        </w:rPr>
        <w:t xml:space="preserve"> باشد که باید به پروتکل‌</w:t>
      </w:r>
      <w:r>
        <w:rPr>
          <w:rFonts w:eastAsia="Times New Roman" w:cs="B Nazanin" w:hint="cs"/>
          <w:color w:val="222222"/>
          <w:rtl/>
          <w:lang w:bidi="fa-IR"/>
        </w:rPr>
        <w:t>های مخصوص</w:t>
      </w:r>
      <w:r w:rsidR="004F761B">
        <w:rPr>
          <w:rFonts w:eastAsia="Times New Roman" w:cs="B Nazanin" w:hint="cs"/>
          <w:color w:val="222222"/>
          <w:rtl/>
          <w:lang w:bidi="fa-IR"/>
        </w:rPr>
        <w:t xml:space="preserve"> آنها</w:t>
      </w:r>
      <w:r>
        <w:rPr>
          <w:rFonts w:eastAsia="Times New Roman" w:cs="B Nazanin" w:hint="cs"/>
          <w:color w:val="222222"/>
          <w:rtl/>
          <w:lang w:bidi="fa-IR"/>
        </w:rPr>
        <w:t xml:space="preserve"> مراجعه کرد. برای پیوند کلیه، </w:t>
      </w:r>
      <w:r w:rsidR="009E783B" w:rsidRPr="001C63A6">
        <w:rPr>
          <w:rFonts w:eastAsia="Times New Roman" w:cs="B Nazanin" w:hint="cs"/>
          <w:color w:val="222222"/>
          <w:rtl/>
        </w:rPr>
        <w:t>سرعت انفوزیون را به</w:t>
      </w:r>
      <w:r w:rsidR="00122C09">
        <w:rPr>
          <w:rFonts w:eastAsia="Times New Roman" w:cs="B Nazanin" w:hint="cs"/>
          <w:color w:val="222222"/>
          <w:rtl/>
        </w:rPr>
        <w:t xml:space="preserve"> </w:t>
      </w:r>
      <w:r w:rsidR="009E783B" w:rsidRPr="001C63A6">
        <w:rPr>
          <w:rFonts w:eastAsia="Times New Roman" w:cs="B Nazanin" w:hint="cs"/>
          <w:color w:val="222222"/>
          <w:rtl/>
        </w:rPr>
        <w:t>‌گونه‌ای تنظیم کنید که</w:t>
      </w:r>
      <w:r w:rsidR="00284165">
        <w:rPr>
          <w:rFonts w:eastAsia="Times New Roman" w:cs="B Nazanin" w:hint="cs"/>
          <w:color w:val="222222"/>
          <w:rtl/>
        </w:rPr>
        <w:t xml:space="preserve"> دو</w:t>
      </w:r>
      <w:r w:rsidR="009E783B" w:rsidRPr="001C63A6">
        <w:rPr>
          <w:rFonts w:eastAsia="Times New Roman" w:cs="B Nazanin" w:hint="cs"/>
          <w:color w:val="222222"/>
          <w:rtl/>
        </w:rPr>
        <w:t xml:space="preserve"> دوز اول حداقل طی ۶ ساعت و دوزهای بعدی حداقل طی ۴ ساعت انفوزیون شود</w:t>
      </w:r>
      <w:r w:rsidR="004958F6">
        <w:rPr>
          <w:rFonts w:eastAsia="Times New Roman" w:cs="B Nazanin" w:hint="cs"/>
          <w:color w:val="222222"/>
          <w:rtl/>
        </w:rPr>
        <w:t>.</w:t>
      </w:r>
    </w:p>
    <w:p w14:paraId="202E2CE1" w14:textId="17ED2E1F" w:rsidR="00841594" w:rsidRDefault="009E783B" w:rsidP="00284165">
      <w:pPr>
        <w:pStyle w:val="ListParagraph"/>
        <w:numPr>
          <w:ilvl w:val="0"/>
          <w:numId w:val="19"/>
        </w:numPr>
        <w:shd w:val="clear" w:color="auto" w:fill="FFFFFF"/>
        <w:bidi/>
        <w:spacing w:after="0" w:line="240" w:lineRule="auto"/>
        <w:jc w:val="both"/>
        <w:rPr>
          <w:rFonts w:eastAsia="Times New Roman" w:cs="B Nazanin"/>
          <w:b/>
          <w:bCs/>
          <w:color w:val="222222"/>
          <w:u w:val="single"/>
        </w:rPr>
      </w:pPr>
      <w:r w:rsidRPr="00841594">
        <w:rPr>
          <w:rFonts w:eastAsia="Times New Roman" w:cs="B Nazanin" w:hint="cs"/>
          <w:color w:val="222222"/>
          <w:rtl/>
        </w:rPr>
        <w:t xml:space="preserve">یک ساعت پیش از تزریق، از داروهای </w:t>
      </w:r>
      <w:r w:rsidR="00284165" w:rsidRPr="00841594">
        <w:rPr>
          <w:rFonts w:eastAsia="Times New Roman" w:cs="B Nazanin" w:hint="cs"/>
          <w:color w:val="222222"/>
          <w:rtl/>
        </w:rPr>
        <w:t xml:space="preserve">کورتیکواستروئید، استامینوفن و/یا آنتی‌هیستامین </w:t>
      </w:r>
      <w:r w:rsidRPr="00841594">
        <w:rPr>
          <w:rFonts w:eastAsia="Times New Roman" w:cs="B Nazanin" w:hint="cs"/>
          <w:color w:val="222222"/>
          <w:rtl/>
        </w:rPr>
        <w:t xml:space="preserve">جهت </w:t>
      </w:r>
      <w:r w:rsidR="00BE13D2" w:rsidRPr="00841594">
        <w:rPr>
          <w:rFonts w:eastAsia="Times New Roman" w:cs="B Nazanin" w:hint="cs"/>
          <w:color w:val="222222"/>
          <w:rtl/>
        </w:rPr>
        <w:t xml:space="preserve">پیش درمانی </w:t>
      </w:r>
      <w:r w:rsidR="00284165">
        <w:rPr>
          <w:rFonts w:eastAsia="Times New Roman" w:cs="B Nazanin" w:hint="cs"/>
          <w:color w:val="222222"/>
          <w:rtl/>
        </w:rPr>
        <w:t>به منظور</w:t>
      </w:r>
      <w:r w:rsidR="00284165" w:rsidRPr="00841594">
        <w:rPr>
          <w:rFonts w:eastAsia="Times New Roman" w:cs="B Nazanin" w:hint="cs"/>
          <w:color w:val="222222"/>
          <w:rtl/>
        </w:rPr>
        <w:t xml:space="preserve"> </w:t>
      </w:r>
      <w:r w:rsidRPr="00841594">
        <w:rPr>
          <w:rFonts w:eastAsia="Times New Roman" w:cs="B Nazanin" w:hint="cs"/>
          <w:color w:val="222222"/>
          <w:rtl/>
        </w:rPr>
        <w:t>کاهش بروز و شدت واکنش‌های مرتبط با تزریق استفاده شود</w:t>
      </w:r>
      <w:r w:rsidR="00841594" w:rsidRPr="00841594">
        <w:rPr>
          <w:rFonts w:eastAsia="Times New Roman" w:cs="B Nazanin" w:hint="cs"/>
          <w:color w:val="222222"/>
          <w:rtl/>
        </w:rPr>
        <w:t>.</w:t>
      </w:r>
      <w:r w:rsidRPr="00841594">
        <w:rPr>
          <w:rFonts w:eastAsia="Times New Roman" w:cs="B Nazanin" w:hint="cs"/>
          <w:color w:val="222222"/>
          <w:rtl/>
        </w:rPr>
        <w:t xml:space="preserve"> </w:t>
      </w:r>
    </w:p>
    <w:p w14:paraId="672366A0" w14:textId="01C017C2" w:rsidR="009B5C12" w:rsidRPr="00841594" w:rsidRDefault="0064098E" w:rsidP="00841594">
      <w:pPr>
        <w:shd w:val="clear" w:color="auto" w:fill="FFFFFF"/>
        <w:bidi/>
        <w:spacing w:after="0" w:line="240" w:lineRule="auto"/>
        <w:jc w:val="both"/>
        <w:rPr>
          <w:rFonts w:eastAsia="Times New Roman" w:cs="B Nazanin"/>
          <w:b/>
          <w:bCs/>
          <w:color w:val="222222"/>
          <w:u w:val="single"/>
        </w:rPr>
      </w:pPr>
      <w:r>
        <w:rPr>
          <w:rFonts w:eastAsia="Times New Roman" w:cs="B Nazanin" w:hint="cs"/>
          <w:b/>
          <w:bCs/>
          <w:color w:val="222222"/>
          <w:u w:val="single"/>
          <w:rtl/>
        </w:rPr>
        <w:t>میزان دوز تجویزی</w:t>
      </w:r>
    </w:p>
    <w:p w14:paraId="5425046E" w14:textId="77777777" w:rsidR="009B5C12" w:rsidRPr="001C63A6" w:rsidRDefault="009B5C12" w:rsidP="009B5C12">
      <w:pPr>
        <w:shd w:val="clear" w:color="auto" w:fill="FFFFFF"/>
        <w:bidi/>
        <w:spacing w:after="0" w:line="240" w:lineRule="auto"/>
        <w:jc w:val="both"/>
        <w:rPr>
          <w:rFonts w:eastAsia="Times New Roman" w:cs="B Nazanin"/>
          <w:b/>
          <w:bCs/>
          <w:color w:val="222222"/>
        </w:rPr>
      </w:pPr>
      <w:r w:rsidRPr="001C63A6">
        <w:rPr>
          <w:rFonts w:eastAsia="Times New Roman" w:cs="B Nazanin"/>
          <w:b/>
          <w:bCs/>
          <w:color w:val="222222"/>
          <w:rtl/>
        </w:rPr>
        <w:t>پیوند کلیه</w:t>
      </w:r>
    </w:p>
    <w:p w14:paraId="2B27D6EA" w14:textId="77777777" w:rsidR="009B5C12" w:rsidRPr="001C63A6" w:rsidRDefault="009B5C12" w:rsidP="001C63A6">
      <w:pPr>
        <w:pStyle w:val="ListParagraph"/>
        <w:numPr>
          <w:ilvl w:val="0"/>
          <w:numId w:val="21"/>
        </w:numPr>
        <w:shd w:val="clear" w:color="auto" w:fill="FFFFFF"/>
        <w:bidi/>
        <w:spacing w:after="0" w:line="276" w:lineRule="auto"/>
        <w:jc w:val="lowKashida"/>
        <w:rPr>
          <w:rFonts w:eastAsia="Times New Roman" w:cs="B Nazanin"/>
          <w:color w:val="222222"/>
        </w:rPr>
      </w:pPr>
      <w:r w:rsidRPr="001C63A6">
        <w:rPr>
          <w:rFonts w:eastAsia="Times New Roman" w:cs="B Nazanin"/>
          <w:b/>
          <w:bCs/>
          <w:color w:val="222222"/>
          <w:rtl/>
        </w:rPr>
        <w:t>پیشگیری اولیه</w:t>
      </w:r>
      <w:r w:rsidRPr="001C63A6">
        <w:rPr>
          <w:rFonts w:eastAsia="Times New Roman" w:cs="B Nazanin" w:hint="cs"/>
          <w:b/>
          <w:bCs/>
          <w:color w:val="222222"/>
          <w:rtl/>
        </w:rPr>
        <w:t xml:space="preserve"> (رژیم القایی</w:t>
      </w:r>
      <w:r w:rsidRPr="001C63A6">
        <w:rPr>
          <w:rFonts w:eastAsia="Times New Roman" w:cs="B Nazanin" w:hint="cs"/>
          <w:color w:val="222222"/>
          <w:rtl/>
        </w:rPr>
        <w:t>)</w:t>
      </w:r>
      <w:r w:rsidRPr="001C63A6">
        <w:rPr>
          <w:rFonts w:eastAsia="Times New Roman" w:cs="B Nazanin"/>
          <w:color w:val="222222"/>
        </w:rPr>
        <w:t>:</w:t>
      </w:r>
    </w:p>
    <w:p w14:paraId="326C9883" w14:textId="3D3BD1B9" w:rsidR="009B5C12" w:rsidRPr="001C63A6" w:rsidRDefault="009B5C12" w:rsidP="00B010DA">
      <w:pPr>
        <w:bidi/>
        <w:spacing w:after="0" w:line="276" w:lineRule="auto"/>
        <w:ind w:left="360"/>
        <w:jc w:val="lowKashida"/>
        <w:rPr>
          <w:rFonts w:ascii="Times New Roman" w:hAnsi="Times New Roman" w:cs="B Nazanin"/>
          <w:rtl/>
        </w:rPr>
      </w:pPr>
      <w:r w:rsidRPr="0064098E">
        <w:rPr>
          <w:rFonts w:ascii="Times New Roman" w:eastAsia="Times New Roman" w:hAnsi="Times New Roman" w:cs="B Nazanin"/>
          <w:color w:val="222222"/>
        </w:rPr>
        <w:t>IV</w:t>
      </w:r>
      <w:r w:rsidRPr="0064098E">
        <w:rPr>
          <w:rFonts w:eastAsia="Times New Roman" w:cs="B Nazanin"/>
          <w:color w:val="222222"/>
          <w:rtl/>
        </w:rPr>
        <w:t xml:space="preserve">: روزانه </w:t>
      </w:r>
      <w:r w:rsidRPr="0064098E">
        <w:rPr>
          <w:rFonts w:eastAsia="Times New Roman" w:cs="B Nazanin"/>
          <w:color w:val="222222"/>
          <w:rtl/>
          <w:lang w:bidi="fa-IR"/>
        </w:rPr>
        <w:t>۱.۵</w:t>
      </w:r>
      <w:r w:rsidRPr="0064098E">
        <w:rPr>
          <w:rFonts w:eastAsia="Times New Roman" w:cs="B Nazanin"/>
          <w:color w:val="222222"/>
          <w:rtl/>
        </w:rPr>
        <w:t xml:space="preserve"> میلی‌گرم/کیلوگرم به مدت </w:t>
      </w:r>
      <w:r w:rsidRPr="0064098E">
        <w:rPr>
          <w:rFonts w:eastAsia="Times New Roman" w:cs="B Nazanin"/>
          <w:color w:val="222222"/>
          <w:rtl/>
          <w:lang w:bidi="fa-IR"/>
        </w:rPr>
        <w:t>۴</w:t>
      </w:r>
      <w:r w:rsidRPr="0064098E">
        <w:rPr>
          <w:rFonts w:eastAsia="Times New Roman" w:cs="B Nazanin"/>
          <w:color w:val="222222"/>
          <w:rtl/>
        </w:rPr>
        <w:t xml:space="preserve"> تا </w:t>
      </w:r>
      <w:r w:rsidRPr="0064098E">
        <w:rPr>
          <w:rFonts w:eastAsia="Times New Roman" w:cs="B Nazanin"/>
          <w:color w:val="222222"/>
          <w:rtl/>
          <w:lang w:bidi="fa-IR"/>
        </w:rPr>
        <w:t>۷</w:t>
      </w:r>
      <w:r w:rsidRPr="0064098E">
        <w:rPr>
          <w:rFonts w:eastAsia="Times New Roman" w:cs="B Nazanin"/>
          <w:color w:val="222222"/>
          <w:rtl/>
        </w:rPr>
        <w:t xml:space="preserve"> </w:t>
      </w:r>
      <w:proofErr w:type="gramStart"/>
      <w:r w:rsidRPr="0064098E">
        <w:rPr>
          <w:rFonts w:eastAsia="Times New Roman" w:cs="B Nazanin"/>
          <w:color w:val="222222"/>
          <w:rtl/>
        </w:rPr>
        <w:t>روز</w:t>
      </w:r>
      <w:r w:rsidR="00284165">
        <w:rPr>
          <w:rFonts w:eastAsia="Times New Roman" w:cs="B Nazanin" w:hint="cs"/>
          <w:color w:val="222222"/>
          <w:rtl/>
        </w:rPr>
        <w:t>.</w:t>
      </w:r>
      <w:r w:rsidRPr="0064098E">
        <w:rPr>
          <w:rFonts w:ascii="Times New Roman" w:hAnsi="Times New Roman" w:cs="B Nazanin" w:hint="cs"/>
          <w:rtl/>
        </w:rPr>
        <w:t>تجویز</w:t>
      </w:r>
      <w:proofErr w:type="gramEnd"/>
      <w:r w:rsidRPr="0064098E">
        <w:rPr>
          <w:rFonts w:ascii="Times New Roman" w:hAnsi="Times New Roman" w:cs="B Nazanin" w:hint="cs"/>
          <w:rtl/>
        </w:rPr>
        <w:t xml:space="preserve"> اولین دوز، قبل از پیوند</w:t>
      </w:r>
      <w:r w:rsidRPr="001C63A6">
        <w:rPr>
          <w:rFonts w:ascii="Times New Roman" w:hAnsi="Times New Roman" w:cs="B Nazanin" w:hint="cs"/>
          <w:rtl/>
        </w:rPr>
        <w:t xml:space="preserve"> (</w:t>
      </w:r>
      <w:r w:rsidR="001C63A6" w:rsidRPr="001C63A6">
        <w:rPr>
          <w:rFonts w:asciiTheme="majorBidi" w:hAnsiTheme="majorBidi" w:cstheme="majorBidi"/>
          <w:color w:val="000000" w:themeColor="text1"/>
        </w:rPr>
        <w:t>P</w:t>
      </w:r>
      <w:r w:rsidRPr="001C63A6">
        <w:rPr>
          <w:rFonts w:asciiTheme="majorBidi" w:hAnsiTheme="majorBidi" w:cstheme="majorBidi"/>
          <w:color w:val="000000" w:themeColor="text1"/>
        </w:rPr>
        <w:t>rior to reperfusion of the donor kidney</w:t>
      </w:r>
      <w:r w:rsidRPr="001C63A6">
        <w:rPr>
          <w:rFonts w:ascii="Times New Roman" w:hAnsi="Times New Roman" w:cs="B Nazanin" w:hint="cs"/>
          <w:rtl/>
        </w:rPr>
        <w:t xml:space="preserve">) </w:t>
      </w:r>
      <w:r w:rsidR="00D405DE">
        <w:rPr>
          <w:rFonts w:ascii="Times New Roman" w:hAnsi="Times New Roman" w:cs="B Nazanin" w:hint="cs"/>
          <w:rtl/>
        </w:rPr>
        <w:t>شروع شود</w:t>
      </w:r>
      <w:r w:rsidRPr="001C63A6">
        <w:rPr>
          <w:rFonts w:ascii="Times New Roman" w:hAnsi="Times New Roman" w:cs="B Nazanin" w:hint="cs"/>
          <w:rtl/>
        </w:rPr>
        <w:t>.</w:t>
      </w:r>
    </w:p>
    <w:p w14:paraId="0B23BAB3" w14:textId="77777777" w:rsidR="009B5C12" w:rsidRPr="001C63A6" w:rsidRDefault="009B5C12" w:rsidP="009B5C12">
      <w:pPr>
        <w:shd w:val="clear" w:color="auto" w:fill="FFFFFF"/>
        <w:bidi/>
        <w:spacing w:after="0" w:line="240" w:lineRule="auto"/>
        <w:ind w:left="360"/>
        <w:jc w:val="both"/>
        <w:rPr>
          <w:rFonts w:eastAsia="Times New Roman" w:cs="B Nazanin"/>
          <w:color w:val="222222"/>
        </w:rPr>
      </w:pPr>
    </w:p>
    <w:p w14:paraId="74BE2816" w14:textId="0FE94E70" w:rsidR="009B5C12" w:rsidRPr="001C63A6" w:rsidRDefault="009B5C12" w:rsidP="009B5C12">
      <w:pPr>
        <w:pStyle w:val="ListParagraph"/>
        <w:numPr>
          <w:ilvl w:val="0"/>
          <w:numId w:val="21"/>
        </w:numPr>
        <w:shd w:val="clear" w:color="auto" w:fill="FFFFFF"/>
        <w:bidi/>
        <w:spacing w:after="0" w:line="240" w:lineRule="auto"/>
        <w:jc w:val="both"/>
        <w:rPr>
          <w:rFonts w:eastAsia="Times New Roman" w:cs="B Nazanin"/>
          <w:b/>
          <w:bCs/>
          <w:color w:val="222222"/>
        </w:rPr>
      </w:pPr>
      <w:r w:rsidRPr="001C63A6">
        <w:rPr>
          <w:rFonts w:eastAsia="Times New Roman" w:cs="B Nazanin"/>
          <w:b/>
          <w:bCs/>
          <w:color w:val="222222"/>
          <w:rtl/>
        </w:rPr>
        <w:t xml:space="preserve">درمان رد </w:t>
      </w:r>
      <w:r w:rsidRPr="001C63A6">
        <w:rPr>
          <w:rFonts w:eastAsia="Times New Roman" w:cs="B Nazanin" w:hint="cs"/>
          <w:b/>
          <w:bCs/>
          <w:color w:val="222222"/>
          <w:rtl/>
        </w:rPr>
        <w:t>پیوند</w:t>
      </w:r>
      <w:r w:rsidRPr="001C63A6">
        <w:rPr>
          <w:rFonts w:eastAsia="Times New Roman" w:cs="B Nazanin"/>
          <w:b/>
          <w:bCs/>
          <w:color w:val="222222"/>
          <w:rtl/>
        </w:rPr>
        <w:t>حاد</w:t>
      </w:r>
      <w:r w:rsidRPr="001C63A6">
        <w:rPr>
          <w:rFonts w:eastAsia="Times New Roman" w:cs="B Nazanin"/>
          <w:b/>
          <w:bCs/>
          <w:color w:val="222222"/>
        </w:rPr>
        <w:t>:</w:t>
      </w:r>
    </w:p>
    <w:p w14:paraId="3E14C3A3" w14:textId="77777777" w:rsidR="009B5C12" w:rsidRPr="001C63A6" w:rsidRDefault="009B5C12" w:rsidP="009B5C12">
      <w:pPr>
        <w:shd w:val="clear" w:color="auto" w:fill="FFFFFF"/>
        <w:bidi/>
        <w:spacing w:after="0" w:line="240" w:lineRule="auto"/>
        <w:ind w:left="360"/>
        <w:jc w:val="both"/>
        <w:rPr>
          <w:rFonts w:eastAsia="Times New Roman" w:cs="B Nazanin"/>
          <w:color w:val="222222"/>
          <w:rtl/>
          <w:lang w:bidi="fa-IR"/>
        </w:rPr>
      </w:pPr>
      <w:proofErr w:type="gramStart"/>
      <w:r w:rsidRPr="00841594">
        <w:rPr>
          <w:rFonts w:asciiTheme="majorBidi" w:eastAsia="Times New Roman" w:hAnsiTheme="majorBidi" w:cstheme="majorBidi"/>
          <w:color w:val="222222"/>
        </w:rPr>
        <w:t>IV</w:t>
      </w:r>
      <w:r w:rsidRPr="001C63A6">
        <w:rPr>
          <w:rFonts w:eastAsia="Times New Roman" w:cs="B Nazanin"/>
          <w:color w:val="222222"/>
        </w:rPr>
        <w:t xml:space="preserve"> </w:t>
      </w:r>
      <w:r w:rsidRPr="001C63A6">
        <w:rPr>
          <w:rFonts w:eastAsia="Times New Roman" w:cs="B Nazanin"/>
          <w:color w:val="222222"/>
          <w:rtl/>
        </w:rPr>
        <w:t>:</w:t>
      </w:r>
      <w:proofErr w:type="gramEnd"/>
      <w:r w:rsidRPr="001C63A6">
        <w:rPr>
          <w:rFonts w:eastAsia="Times New Roman" w:cs="B Nazanin"/>
          <w:color w:val="222222"/>
          <w:rtl/>
        </w:rPr>
        <w:t xml:space="preserve"> روزانه </w:t>
      </w:r>
      <w:r w:rsidRPr="001C63A6">
        <w:rPr>
          <w:rFonts w:eastAsia="Times New Roman" w:cs="B Nazanin"/>
          <w:color w:val="222222"/>
          <w:rtl/>
          <w:lang w:bidi="fa-IR"/>
        </w:rPr>
        <w:t>۱.۵</w:t>
      </w:r>
      <w:r w:rsidRPr="001C63A6">
        <w:rPr>
          <w:rFonts w:eastAsia="Times New Roman" w:cs="B Nazanin"/>
          <w:color w:val="222222"/>
          <w:rtl/>
        </w:rPr>
        <w:t xml:space="preserve"> میلی‌گرم/کیلوگرم به مدت </w:t>
      </w:r>
      <w:r w:rsidRPr="001C63A6">
        <w:rPr>
          <w:rFonts w:eastAsia="Times New Roman" w:cs="B Nazanin"/>
          <w:color w:val="222222"/>
          <w:rtl/>
          <w:lang w:bidi="fa-IR"/>
        </w:rPr>
        <w:t>۷</w:t>
      </w:r>
      <w:r w:rsidRPr="001C63A6">
        <w:rPr>
          <w:rFonts w:eastAsia="Times New Roman" w:cs="B Nazanin"/>
          <w:color w:val="222222"/>
          <w:rtl/>
        </w:rPr>
        <w:t xml:space="preserve"> تا </w:t>
      </w:r>
      <w:r w:rsidRPr="001C63A6">
        <w:rPr>
          <w:rFonts w:eastAsia="Times New Roman" w:cs="B Nazanin"/>
          <w:color w:val="222222"/>
          <w:rtl/>
          <w:lang w:bidi="fa-IR"/>
        </w:rPr>
        <w:t>۱۴</w:t>
      </w:r>
      <w:r w:rsidRPr="001C63A6">
        <w:rPr>
          <w:rFonts w:eastAsia="Times New Roman" w:cs="B Nazanin"/>
          <w:color w:val="222222"/>
          <w:rtl/>
        </w:rPr>
        <w:t xml:space="preserve"> روز</w:t>
      </w:r>
    </w:p>
    <w:p w14:paraId="3DA21091" w14:textId="7C99D66E" w:rsidR="009B5C12" w:rsidRPr="001C63A6" w:rsidRDefault="009B5C12" w:rsidP="00512EDE">
      <w:pPr>
        <w:shd w:val="clear" w:color="auto" w:fill="FFFFFF"/>
        <w:bidi/>
        <w:spacing w:after="0" w:line="276" w:lineRule="auto"/>
        <w:jc w:val="both"/>
        <w:rPr>
          <w:rFonts w:eastAsia="Times New Roman" w:cs="B Nazanin"/>
          <w:b/>
          <w:bCs/>
          <w:color w:val="0F4761" w:themeColor="accent1" w:themeShade="BF"/>
          <w:highlight w:val="cyan"/>
        </w:rPr>
      </w:pPr>
      <w:r w:rsidRPr="001C63A6">
        <w:rPr>
          <w:rFonts w:eastAsia="Times New Roman" w:cs="B Nazanin" w:hint="eastAsia"/>
          <w:color w:val="222222"/>
          <w:rtl/>
        </w:rPr>
        <w:t>ا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 w:hint="eastAsia"/>
          <w:color w:val="222222"/>
          <w:rtl/>
        </w:rPr>
        <w:t>ن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="00512EDE">
        <w:rPr>
          <w:rFonts w:eastAsia="Times New Roman" w:cs="B Nazanin" w:hint="cs"/>
          <w:color w:val="222222"/>
          <w:rtl/>
        </w:rPr>
        <w:t>فرآورده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ممکن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است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برا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سا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 w:hint="eastAsia"/>
          <w:color w:val="222222"/>
          <w:rtl/>
        </w:rPr>
        <w:t>ر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موارد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درمان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ن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 w:hint="eastAsia"/>
          <w:color w:val="222222"/>
          <w:rtl/>
        </w:rPr>
        <w:t>ز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="00D405DE">
        <w:rPr>
          <w:rFonts w:eastAsia="Times New Roman" w:cs="B Nazanin" w:hint="cs"/>
          <w:color w:val="222222"/>
          <w:rtl/>
        </w:rPr>
        <w:t xml:space="preserve">به صورت </w:t>
      </w:r>
      <w:r w:rsidR="00D405DE" w:rsidRPr="00512EDE">
        <w:rPr>
          <w:rFonts w:ascii="Times New Roman" w:eastAsia="Times New Roman" w:hAnsi="Times New Roman" w:cs="Times New Roman"/>
          <w:color w:val="222222"/>
        </w:rPr>
        <w:t>off labe</w:t>
      </w:r>
      <w:r w:rsidR="00D405DE">
        <w:rPr>
          <w:rFonts w:eastAsia="Times New Roman" w:cs="B Nazanin"/>
          <w:color w:val="222222"/>
        </w:rPr>
        <w:t>l</w:t>
      </w:r>
      <w:r w:rsidR="00D405DE">
        <w:rPr>
          <w:rFonts w:eastAsia="Times New Roman" w:cs="B Nazanin" w:hint="cs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به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صلاحد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 w:hint="eastAsia"/>
          <w:color w:val="222222"/>
          <w:rtl/>
        </w:rPr>
        <w:t>د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پزشک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تجو</w:t>
      </w:r>
      <w:r w:rsidRPr="001C63A6">
        <w:rPr>
          <w:rFonts w:eastAsia="Times New Roman" w:cs="B Nazanin" w:hint="cs"/>
          <w:color w:val="222222"/>
          <w:rtl/>
        </w:rPr>
        <w:t>ی</w:t>
      </w:r>
      <w:r w:rsidRPr="001C63A6">
        <w:rPr>
          <w:rFonts w:eastAsia="Times New Roman" w:cs="B Nazanin" w:hint="eastAsia"/>
          <w:color w:val="222222"/>
          <w:rtl/>
        </w:rPr>
        <w:t>ز</w:t>
      </w:r>
      <w:r w:rsidRPr="001C63A6">
        <w:rPr>
          <w:rFonts w:eastAsia="Times New Roman" w:cs="B Nazanin"/>
          <w:color w:val="222222"/>
          <w:rtl/>
        </w:rPr>
        <w:t xml:space="preserve"> </w:t>
      </w:r>
      <w:r w:rsidRPr="001C63A6">
        <w:rPr>
          <w:rFonts w:eastAsia="Times New Roman" w:cs="B Nazanin" w:hint="eastAsia"/>
          <w:color w:val="222222"/>
          <w:rtl/>
        </w:rPr>
        <w:t>شود</w:t>
      </w:r>
      <w:r w:rsidR="001C63A6">
        <w:rPr>
          <w:rFonts w:eastAsia="Times New Roman" w:cs="B Nazanin" w:hint="cs"/>
          <w:color w:val="222222"/>
          <w:rtl/>
        </w:rPr>
        <w:t>.</w:t>
      </w:r>
      <w:r w:rsidRPr="001C63A6">
        <w:rPr>
          <w:rFonts w:eastAsia="Times New Roman" w:cs="B Nazanin" w:hint="cs"/>
          <w:color w:val="222222"/>
          <w:rtl/>
        </w:rPr>
        <w:t xml:space="preserve"> لذا لازم است</w:t>
      </w:r>
      <w:r w:rsidR="00512EDE">
        <w:rPr>
          <w:rFonts w:eastAsia="Times New Roman" w:cs="B Nazanin" w:hint="cs"/>
          <w:color w:val="222222"/>
          <w:rtl/>
        </w:rPr>
        <w:t>،</w:t>
      </w:r>
      <w:r w:rsidRPr="001C63A6">
        <w:rPr>
          <w:rFonts w:eastAsia="Times New Roman" w:cs="B Nazanin" w:hint="cs"/>
          <w:color w:val="222222"/>
          <w:rtl/>
        </w:rPr>
        <w:t xml:space="preserve"> دوز </w:t>
      </w:r>
      <w:r w:rsidR="00512EDE">
        <w:rPr>
          <w:rFonts w:eastAsia="Times New Roman" w:cs="B Nazanin" w:hint="cs"/>
          <w:color w:val="222222"/>
          <w:rtl/>
        </w:rPr>
        <w:t>تجویزی طبق راهنماها و استاندارد</w:t>
      </w:r>
      <w:r w:rsidRPr="001C63A6">
        <w:rPr>
          <w:rFonts w:eastAsia="Times New Roman" w:cs="B Nazanin" w:hint="cs"/>
          <w:color w:val="222222"/>
          <w:rtl/>
        </w:rPr>
        <w:t xml:space="preserve">های مورد نظر پزشک انجام شود تا نتیجه مورد نظر حاصل گردد. </w:t>
      </w:r>
    </w:p>
    <w:p w14:paraId="0D62680A" w14:textId="77777777" w:rsidR="009B5C12" w:rsidRPr="001C63A6" w:rsidRDefault="009B5C12" w:rsidP="001C63A6">
      <w:pPr>
        <w:shd w:val="clear" w:color="auto" w:fill="FFFFFF"/>
        <w:bidi/>
        <w:spacing w:after="0" w:line="276" w:lineRule="auto"/>
        <w:jc w:val="both"/>
        <w:rPr>
          <w:rFonts w:eastAsia="Times New Roman" w:cs="B Nazanin"/>
          <w:color w:val="222222"/>
          <w:highlight w:val="magenta"/>
          <w:rtl/>
        </w:rPr>
      </w:pPr>
    </w:p>
    <w:p w14:paraId="4DB45D60" w14:textId="0E09B1CA" w:rsidR="009B5C12" w:rsidRPr="001C63A6" w:rsidRDefault="009B5C12" w:rsidP="009B5C12">
      <w:pPr>
        <w:shd w:val="clear" w:color="auto" w:fill="FFFFFF"/>
        <w:bidi/>
        <w:spacing w:after="0" w:line="240" w:lineRule="auto"/>
        <w:jc w:val="both"/>
        <w:rPr>
          <w:rFonts w:eastAsia="Times New Roman" w:cs="B Nazanin"/>
          <w:color w:val="222222"/>
          <w:u w:val="single"/>
          <w:rtl/>
          <w:lang w:bidi="fa-IR"/>
        </w:rPr>
      </w:pPr>
      <w:r w:rsidRPr="001C63A6">
        <w:rPr>
          <w:rFonts w:eastAsia="Times New Roman" w:cs="B Nazanin"/>
          <w:b/>
          <w:bCs/>
          <w:color w:val="222222"/>
          <w:u w:val="single"/>
          <w:rtl/>
          <w:lang w:bidi="fa-IR"/>
        </w:rPr>
        <w:t>موارد تنظیم دوز تجویزی</w:t>
      </w:r>
    </w:p>
    <w:p w14:paraId="1B6F0BB6" w14:textId="3CE93F75" w:rsidR="009B5C12" w:rsidRPr="001C63A6" w:rsidRDefault="0064098E" w:rsidP="009B5C12">
      <w:pPr>
        <w:shd w:val="clear" w:color="auto" w:fill="FFFFFF"/>
        <w:bidi/>
        <w:spacing w:after="0" w:line="240" w:lineRule="auto"/>
        <w:jc w:val="both"/>
        <w:rPr>
          <w:rFonts w:eastAsia="Times New Roman" w:cs="B Nazanin"/>
          <w:color w:val="222222"/>
          <w:rtl/>
          <w:lang w:bidi="fa-IR"/>
        </w:rPr>
      </w:pPr>
      <w:r>
        <w:rPr>
          <w:rFonts w:eastAsia="Times New Roman" w:cs="B Nazanin" w:hint="cs"/>
          <w:color w:val="222222"/>
          <w:rtl/>
          <w:lang w:bidi="fa-IR"/>
        </w:rPr>
        <w:t xml:space="preserve">       </w:t>
      </w:r>
      <w:r w:rsidR="009B5C12" w:rsidRPr="001C63A6">
        <w:rPr>
          <w:rFonts w:eastAsia="Times New Roman" w:cs="B Nazanin"/>
          <w:color w:val="222222"/>
          <w:rtl/>
          <w:lang w:bidi="fa-IR"/>
        </w:rPr>
        <w:t xml:space="preserve">در صورت بروز عوارض جانبی، ممکن است دوز دارو بر اساس نظر پزشک متخصص نیاز به تعدیل داشته باشد. تعداد سلول های خونی و پلاکت در حین و پس از دریافت </w:t>
      </w:r>
      <w:r w:rsidR="009B5C12" w:rsidRPr="001C63A6">
        <w:rPr>
          <w:rFonts w:eastAsia="Times New Roman" w:cs="B Nazanin" w:hint="cs"/>
          <w:color w:val="222222"/>
          <w:rtl/>
          <w:lang w:bidi="fa-IR"/>
        </w:rPr>
        <w:t>فرآورده مذکور</w:t>
      </w:r>
      <w:r w:rsidR="009B5C12" w:rsidRPr="001C63A6">
        <w:rPr>
          <w:rFonts w:eastAsia="Times New Roman" w:cs="B Nazanin"/>
          <w:color w:val="222222"/>
          <w:rtl/>
          <w:lang w:bidi="fa-IR"/>
        </w:rPr>
        <w:t xml:space="preserve"> باید پایش شود.</w:t>
      </w:r>
    </w:p>
    <w:p w14:paraId="0E2104CF" w14:textId="77777777" w:rsidR="009B5C12" w:rsidRPr="0064098E" w:rsidRDefault="009B5C12" w:rsidP="009B5C12">
      <w:pPr>
        <w:numPr>
          <w:ilvl w:val="0"/>
          <w:numId w:val="20"/>
        </w:numPr>
        <w:shd w:val="clear" w:color="auto" w:fill="FFFFFF"/>
        <w:bidi/>
        <w:spacing w:after="0" w:line="240" w:lineRule="auto"/>
        <w:jc w:val="both"/>
        <w:rPr>
          <w:rFonts w:eastAsia="Times New Roman" w:cs="B Nazanin"/>
          <w:color w:val="222222"/>
          <w:rtl/>
          <w:lang w:bidi="fa-IR"/>
        </w:rPr>
      </w:pPr>
      <w:r w:rsidRPr="0064098E">
        <w:rPr>
          <w:rFonts w:eastAsia="Times New Roman" w:cs="B Nazanin"/>
          <w:color w:val="222222"/>
          <w:rtl/>
          <w:lang w:bidi="fa-IR"/>
        </w:rPr>
        <w:t xml:space="preserve">در صورتی که تعداد پلاکت های محیطی بین </w:t>
      </w:r>
      <w:r w:rsidRPr="0064098E">
        <w:rPr>
          <w:rFonts w:eastAsia="Times New Roman" w:cs="B Nazanin"/>
          <w:color w:val="222222"/>
        </w:rPr>
        <w:t>50,000</w:t>
      </w:r>
      <w:r w:rsidRPr="0064098E">
        <w:rPr>
          <w:rFonts w:eastAsia="Times New Roman" w:cs="B Nazanin"/>
          <w:color w:val="222222"/>
          <w:rtl/>
          <w:lang w:bidi="fa-IR"/>
        </w:rPr>
        <w:t xml:space="preserve"> تا </w:t>
      </w:r>
      <w:r w:rsidRPr="0064098E">
        <w:rPr>
          <w:rFonts w:eastAsia="Times New Roman" w:cs="B Nazanin"/>
          <w:color w:val="222222"/>
        </w:rPr>
        <w:t>75,</w:t>
      </w:r>
      <w:r w:rsidRPr="0064098E">
        <w:rPr>
          <w:rFonts w:asciiTheme="majorBidi" w:eastAsia="Times New Roman" w:hAnsiTheme="majorBidi" w:cs="B Nazanin"/>
          <w:color w:val="222222"/>
        </w:rPr>
        <w:t>000 cells/mm</w:t>
      </w:r>
      <w:r w:rsidRPr="0064098E">
        <w:rPr>
          <w:rFonts w:eastAsia="Times New Roman" w:cs="B Nazanin"/>
          <w:color w:val="222222"/>
          <w:vertAlign w:val="superscript"/>
        </w:rPr>
        <w:t>3</w:t>
      </w:r>
      <w:r w:rsidRPr="0064098E">
        <w:rPr>
          <w:rFonts w:eastAsia="Times New Roman" w:cs="B Nazanin"/>
          <w:color w:val="222222"/>
          <w:rtl/>
          <w:lang w:bidi="fa-IR"/>
        </w:rPr>
        <w:t xml:space="preserve"> و یا تعداد گلبول های سفید (</w:t>
      </w:r>
      <w:r w:rsidRPr="0064098E">
        <w:rPr>
          <w:rFonts w:asciiTheme="majorBidi" w:eastAsia="Times New Roman" w:hAnsiTheme="majorBidi" w:cs="B Nazanin"/>
          <w:color w:val="222222"/>
        </w:rPr>
        <w:t>WBC</w:t>
      </w:r>
      <w:r w:rsidRPr="0064098E">
        <w:rPr>
          <w:rFonts w:eastAsia="Times New Roman" w:cs="B Nazanin"/>
          <w:color w:val="222222"/>
          <w:rtl/>
          <w:lang w:bidi="fa-IR"/>
        </w:rPr>
        <w:t xml:space="preserve">) بین </w:t>
      </w:r>
      <w:r w:rsidRPr="0064098E">
        <w:rPr>
          <w:rFonts w:eastAsia="Times New Roman" w:cs="B Nazanin"/>
          <w:color w:val="222222"/>
        </w:rPr>
        <w:t>2,000</w:t>
      </w:r>
      <w:r w:rsidRPr="0064098E">
        <w:rPr>
          <w:rFonts w:eastAsia="Times New Roman" w:cs="B Nazanin"/>
          <w:color w:val="222222"/>
          <w:rtl/>
          <w:lang w:bidi="fa-IR"/>
        </w:rPr>
        <w:t xml:space="preserve"> تا </w:t>
      </w:r>
      <w:r w:rsidRPr="0064098E">
        <w:rPr>
          <w:rFonts w:eastAsia="Times New Roman" w:cs="B Nazanin"/>
          <w:color w:val="222222"/>
        </w:rPr>
        <w:t xml:space="preserve">3,000 </w:t>
      </w:r>
      <w:r w:rsidRPr="0064098E">
        <w:rPr>
          <w:rFonts w:asciiTheme="majorBidi" w:eastAsia="Times New Roman" w:hAnsiTheme="majorBidi" w:cs="B Nazanin"/>
          <w:color w:val="222222"/>
        </w:rPr>
        <w:t>cells/mm</w:t>
      </w:r>
      <w:r w:rsidRPr="0064098E">
        <w:rPr>
          <w:rFonts w:eastAsia="Times New Roman" w:cs="B Nazanin"/>
          <w:color w:val="222222"/>
          <w:vertAlign w:val="superscript"/>
        </w:rPr>
        <w:t>3</w:t>
      </w:r>
      <w:r w:rsidRPr="0064098E">
        <w:rPr>
          <w:rFonts w:eastAsia="Times New Roman" w:cs="B Nazanin"/>
          <w:color w:val="222222"/>
          <w:rtl/>
          <w:lang w:bidi="fa-IR"/>
        </w:rPr>
        <w:t xml:space="preserve"> باشد، دوز تجویزی </w:t>
      </w:r>
      <w:r w:rsidRPr="0064098E">
        <w:rPr>
          <w:rFonts w:eastAsia="Times New Roman" w:cs="B Nazanin" w:hint="cs"/>
          <w:color w:val="222222"/>
          <w:rtl/>
        </w:rPr>
        <w:t>آنتی تیموسیت گلوبولین خرگوشی</w:t>
      </w:r>
      <w:r w:rsidRPr="0064098E">
        <w:rPr>
          <w:rFonts w:eastAsia="Times New Roman" w:cs="B Nazanin"/>
          <w:color w:val="222222"/>
          <w:rtl/>
          <w:lang w:bidi="fa-IR"/>
        </w:rPr>
        <w:t xml:space="preserve"> </w:t>
      </w:r>
      <w:r w:rsidRPr="0064098E">
        <w:rPr>
          <w:rFonts w:eastAsia="Times New Roman" w:cs="B Nazanin"/>
          <w:color w:val="222222"/>
          <w:u w:val="single"/>
          <w:rtl/>
          <w:lang w:bidi="fa-IR"/>
        </w:rPr>
        <w:t>باید نصف شود.</w:t>
      </w:r>
      <w:r w:rsidRPr="0064098E">
        <w:rPr>
          <w:rFonts w:eastAsia="Times New Roman" w:cs="B Nazanin"/>
          <w:color w:val="222222"/>
          <w:rtl/>
          <w:lang w:bidi="fa-IR"/>
        </w:rPr>
        <w:t xml:space="preserve"> </w:t>
      </w:r>
    </w:p>
    <w:p w14:paraId="23C23BD0" w14:textId="48AD1241" w:rsidR="009B5C12" w:rsidRPr="001C63A6" w:rsidRDefault="009B5C12" w:rsidP="00305D98">
      <w:pPr>
        <w:numPr>
          <w:ilvl w:val="0"/>
          <w:numId w:val="20"/>
        </w:numPr>
        <w:shd w:val="clear" w:color="auto" w:fill="FFFFFF"/>
        <w:bidi/>
        <w:spacing w:after="0" w:line="240" w:lineRule="auto"/>
        <w:jc w:val="both"/>
        <w:rPr>
          <w:rFonts w:eastAsia="Times New Roman" w:cs="B Nazanin"/>
          <w:color w:val="222222"/>
        </w:rPr>
      </w:pPr>
      <w:r w:rsidRPr="001C63A6">
        <w:rPr>
          <w:rFonts w:eastAsia="Times New Roman" w:cs="B Nazanin"/>
          <w:color w:val="222222"/>
          <w:rtl/>
          <w:lang w:bidi="fa-IR"/>
        </w:rPr>
        <w:t xml:space="preserve">در ترومبوسیتوپنی شدید (کمتر </w:t>
      </w:r>
      <w:r w:rsidRPr="001C63A6">
        <w:rPr>
          <w:rFonts w:asciiTheme="majorBidi" w:eastAsia="Times New Roman" w:hAnsiTheme="majorBidi" w:cstheme="majorBidi"/>
          <w:color w:val="222222"/>
          <w:rtl/>
          <w:lang w:bidi="fa-IR"/>
        </w:rPr>
        <w:t xml:space="preserve">از </w:t>
      </w:r>
      <w:r w:rsidRPr="001C63A6">
        <w:rPr>
          <w:rFonts w:asciiTheme="majorBidi" w:eastAsia="Times New Roman" w:hAnsiTheme="majorBidi" w:cstheme="majorBidi"/>
          <w:color w:val="222222"/>
        </w:rPr>
        <w:t xml:space="preserve"> cell/mm</w:t>
      </w:r>
      <w:r w:rsidRPr="001C63A6">
        <w:rPr>
          <w:rFonts w:eastAsia="Times New Roman" w:cs="B Nazanin"/>
          <w:color w:val="222222"/>
          <w:vertAlign w:val="superscript"/>
        </w:rPr>
        <w:t>3</w:t>
      </w:r>
      <w:r w:rsidRPr="001C63A6">
        <w:rPr>
          <w:rFonts w:eastAsia="Times New Roman" w:cs="B Nazanin"/>
          <w:color w:val="222222"/>
          <w:rtl/>
          <w:lang w:bidi="fa-IR"/>
        </w:rPr>
        <w:t xml:space="preserve"> </w:t>
      </w:r>
      <w:r w:rsidRPr="0064098E">
        <w:rPr>
          <w:rFonts w:eastAsia="Times New Roman" w:cs="B Nazanin"/>
          <w:color w:val="222222"/>
        </w:rPr>
        <w:t>50,000</w:t>
      </w:r>
      <w:r w:rsidRPr="001C63A6">
        <w:rPr>
          <w:rFonts w:eastAsia="Times New Roman" w:cs="B Nazanin"/>
          <w:color w:val="222222"/>
          <w:rtl/>
          <w:lang w:bidi="fa-IR"/>
        </w:rPr>
        <w:t>) یا لوکوپنی شدید (کمتر از</w:t>
      </w:r>
      <w:r w:rsidRPr="001C63A6">
        <w:rPr>
          <w:rFonts w:eastAsia="Times New Roman" w:cs="B Nazanin"/>
          <w:color w:val="222222"/>
        </w:rPr>
        <w:t>2,</w:t>
      </w:r>
      <w:r w:rsidRPr="001C63A6">
        <w:rPr>
          <w:rFonts w:asciiTheme="majorBidi" w:eastAsia="Times New Roman" w:hAnsiTheme="majorBidi" w:cstheme="majorBidi"/>
          <w:color w:val="222222"/>
        </w:rPr>
        <w:t>000 cell/mm</w:t>
      </w:r>
      <w:r w:rsidRPr="001C63A6">
        <w:rPr>
          <w:rFonts w:asciiTheme="majorBidi" w:eastAsia="Times New Roman" w:hAnsiTheme="majorBidi" w:cstheme="majorBidi"/>
          <w:color w:val="222222"/>
          <w:vertAlign w:val="superscript"/>
        </w:rPr>
        <w:t>3</w:t>
      </w:r>
      <w:r w:rsidRPr="001C63A6">
        <w:rPr>
          <w:rFonts w:eastAsia="Times New Roman" w:cs="B Nazanin"/>
          <w:color w:val="222222"/>
        </w:rPr>
        <w:t xml:space="preserve"> </w:t>
      </w:r>
      <w:r w:rsidRPr="001C63A6">
        <w:rPr>
          <w:rFonts w:eastAsia="Times New Roman" w:cs="B Nazanin"/>
          <w:color w:val="222222"/>
          <w:rtl/>
          <w:lang w:bidi="fa-IR"/>
        </w:rPr>
        <w:t xml:space="preserve">) درمان با </w:t>
      </w:r>
      <w:r w:rsidRPr="001C63A6">
        <w:rPr>
          <w:rFonts w:eastAsia="Times New Roman" w:cs="B Nazanin" w:hint="cs"/>
          <w:color w:val="222222"/>
          <w:rtl/>
        </w:rPr>
        <w:t>آنتی تیموسیت گلوبولین خرگوشی</w:t>
      </w:r>
      <w:r w:rsidRPr="001C63A6">
        <w:rPr>
          <w:rFonts w:eastAsia="Times New Roman" w:cs="B Nazanin"/>
          <w:color w:val="222222"/>
          <w:rtl/>
          <w:lang w:bidi="fa-IR"/>
        </w:rPr>
        <w:t xml:space="preserve"> </w:t>
      </w:r>
      <w:r w:rsidRPr="001C63A6">
        <w:rPr>
          <w:rFonts w:eastAsia="Times New Roman" w:cs="B Nazanin"/>
          <w:color w:val="222222"/>
          <w:u w:val="single"/>
          <w:rtl/>
          <w:lang w:bidi="fa-IR"/>
        </w:rPr>
        <w:t>باید قطع شود</w:t>
      </w:r>
      <w:r w:rsidR="00D405DE">
        <w:rPr>
          <w:rFonts w:eastAsia="Times New Roman" w:cs="B Nazanin" w:hint="cs"/>
          <w:color w:val="222222"/>
          <w:u w:val="single"/>
          <w:rtl/>
          <w:lang w:bidi="fa-IR"/>
        </w:rPr>
        <w:t xml:space="preserve"> یا تا اصلاح </w:t>
      </w:r>
      <w:r w:rsidR="0059414D">
        <w:rPr>
          <w:rFonts w:eastAsia="Times New Roman" w:cs="B Nazanin" w:hint="cs"/>
          <w:color w:val="222222"/>
          <w:u w:val="single"/>
          <w:rtl/>
          <w:lang w:bidi="fa-IR"/>
        </w:rPr>
        <w:t>شمارش</w:t>
      </w:r>
      <w:r w:rsidR="00D405DE">
        <w:rPr>
          <w:rFonts w:eastAsia="Times New Roman" w:cs="B Nazanin" w:hint="cs"/>
          <w:color w:val="222222"/>
          <w:u w:val="single"/>
          <w:rtl/>
          <w:lang w:bidi="fa-IR"/>
        </w:rPr>
        <w:t xml:space="preserve"> سلولی </w:t>
      </w:r>
      <w:r w:rsidR="00305D98">
        <w:rPr>
          <w:rFonts w:eastAsia="Times New Roman" w:cs="B Nazanin" w:hint="cs"/>
          <w:color w:val="222222"/>
          <w:u w:val="single"/>
          <w:rtl/>
          <w:lang w:bidi="fa-IR"/>
        </w:rPr>
        <w:t xml:space="preserve">متوقف </w:t>
      </w:r>
      <w:r w:rsidR="00D405DE">
        <w:rPr>
          <w:rFonts w:eastAsia="Times New Roman" w:cs="B Nazanin" w:hint="cs"/>
          <w:color w:val="222222"/>
          <w:u w:val="single"/>
          <w:rtl/>
          <w:lang w:bidi="fa-IR"/>
        </w:rPr>
        <w:t>شود</w:t>
      </w:r>
      <w:r w:rsidRPr="001C63A6">
        <w:rPr>
          <w:rFonts w:eastAsia="Times New Roman" w:cs="B Nazanin"/>
          <w:color w:val="222222"/>
          <w:u w:val="single"/>
          <w:rtl/>
          <w:lang w:bidi="fa-IR"/>
        </w:rPr>
        <w:t>.</w:t>
      </w:r>
    </w:p>
    <w:p w14:paraId="6D7D6065" w14:textId="77777777" w:rsidR="009B5C12" w:rsidRPr="001C63A6" w:rsidRDefault="009B5C12" w:rsidP="009B5C12">
      <w:pPr>
        <w:bidi/>
        <w:rPr>
          <w:rFonts w:cs="B Nazanin"/>
        </w:rPr>
      </w:pPr>
    </w:p>
    <w:p w14:paraId="1738E455" w14:textId="77777777" w:rsidR="00BE13D2" w:rsidRPr="001C63A6" w:rsidRDefault="00BE13D2" w:rsidP="00BE13D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356415" w14:textId="7B955A9D" w:rsidR="007D570E" w:rsidRPr="001C63A6" w:rsidRDefault="00512EDE" w:rsidP="00BE13D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B Nazanin" w:hint="cs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</w:t>
      </w:r>
      <w:r w:rsidR="007D570E" w:rsidRPr="001C63A6">
        <w:rPr>
          <w:rFonts w:ascii="Times New Roman" w:hAnsi="Times New Roman" w:cs="B Nazanin" w:hint="cs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رخواست</w:t>
      </w:r>
      <w:r w:rsidR="007D570E" w:rsidRPr="001C63A6"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570E" w:rsidRPr="001C63A6">
        <w:rPr>
          <w:rFonts w:ascii="Times New Roman" w:hAnsi="Times New Roman" w:cs="B Nazanin" w:hint="cs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گزارش‌دهی</w:t>
      </w:r>
    </w:p>
    <w:p w14:paraId="354D5E09" w14:textId="004A65A8" w:rsidR="007D570E" w:rsidRPr="001C63A6" w:rsidRDefault="007D570E" w:rsidP="00537C14">
      <w:pPr>
        <w:bidi/>
        <w:spacing w:after="0" w:line="240" w:lineRule="auto"/>
        <w:jc w:val="both"/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همکاران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درخواست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می‌شود</w:t>
      </w:r>
      <w:r w:rsidR="00C65CC6"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صورت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مشاهده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هرگونه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عارضه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اشتباه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دارویی،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مراتب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را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از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طریق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لین</w:t>
      </w:r>
      <w:r w:rsidR="00BB1FF4"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ک </w:t>
      </w:r>
      <w:r w:rsidR="00537C14" w:rsidRPr="001C63A6">
        <w:rPr>
          <w:rFonts w:ascii="Times New Roman" w:hAnsi="Times New Roman" w:cs="B Nazanin"/>
          <w:color w:val="000000" w:themeColor="text1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https://adr.ttac.ir/</w:t>
      </w:r>
      <w:r w:rsidR="00BB1FF4"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شماره‌های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تماس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61927144-66176934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گزارش</w:t>
      </w:r>
      <w:r w:rsidRPr="001C63A6">
        <w:rPr>
          <w:rFonts w:ascii="Times New Roman" w:hAnsi="Times New Roman" w:cs="B Nazanin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دهند</w:t>
      </w:r>
      <w:r w:rsidR="00BB1FF4" w:rsidRPr="001C63A6">
        <w:rPr>
          <w:rFonts w:ascii="Times New Roman" w:hAnsi="Times New Roman" w:cs="B Nazanin" w:hint="cs"/>
          <w:color w:val="000000" w:themeColor="text1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E37F219" w14:textId="77777777" w:rsidR="00C65CC6" w:rsidRPr="001C63A6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B30EF6" w14:textId="77777777" w:rsidR="00C65CC6" w:rsidRPr="001C63A6" w:rsidRDefault="00C65CC6" w:rsidP="0093084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F0934C" w14:textId="77777777" w:rsidR="00BE13D2" w:rsidRPr="001C63A6" w:rsidRDefault="00BE13D2" w:rsidP="00DF10F9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B308CC2" w14:textId="77777777" w:rsidR="00BE13D2" w:rsidRPr="001C63A6" w:rsidRDefault="00BE13D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B06A4A" w14:textId="77777777" w:rsidR="00BE13D2" w:rsidRPr="001C63A6" w:rsidRDefault="00BE13D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BEF7881" w14:textId="77777777" w:rsidR="00BE13D2" w:rsidRDefault="00BE13D2" w:rsidP="00BF3C21">
      <w:pPr>
        <w:bidi/>
        <w:spacing w:after="0" w:line="240" w:lineRule="auto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89FB46" w14:textId="77777777" w:rsidR="00BE13D2" w:rsidRDefault="00BE13D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FDE7F3" w14:textId="77777777" w:rsidR="0096455F" w:rsidRDefault="00BE13D2" w:rsidP="00512EDE">
      <w:pPr>
        <w:bidi/>
        <w:spacing w:after="0" w:line="240" w:lineRule="auto"/>
        <w:ind w:left="720"/>
        <w:jc w:val="center"/>
        <w:rPr>
          <w:rFonts w:asciiTheme="majorBidi" w:eastAsia="Times New Roman" w:hAnsiTheme="majorBidi" w:cstheme="majorBidi"/>
          <w:color w:val="222222"/>
          <w:rtl/>
        </w:rPr>
      </w:pPr>
      <w:r>
        <w:rPr>
          <w:rFonts w:asciiTheme="majorBidi" w:eastAsia="Times New Roman" w:hAnsiTheme="majorBidi" w:cstheme="majorBidi" w:hint="cs"/>
          <w:color w:val="222222"/>
          <w:rtl/>
        </w:rPr>
        <w:t xml:space="preserve">                                                                                                     </w:t>
      </w:r>
    </w:p>
    <w:p w14:paraId="7FCF555F" w14:textId="7182E081" w:rsidR="00BE13D2" w:rsidRDefault="00BE13D2" w:rsidP="00512EDE">
      <w:pPr>
        <w:bidi/>
        <w:spacing w:after="0" w:line="240" w:lineRule="auto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37F2">
        <w:rPr>
          <w:rFonts w:asciiTheme="majorBidi" w:eastAsia="Times New Roman" w:hAnsiTheme="majorBidi" w:cs="B Nazanin" w:hint="cs"/>
          <w:color w:val="222222"/>
          <w:rtl/>
        </w:rPr>
        <w:t xml:space="preserve">منابع: </w:t>
      </w:r>
      <w:r w:rsidRPr="00AE37F2">
        <w:rPr>
          <w:rFonts w:asciiTheme="majorBidi" w:eastAsia="Times New Roman" w:hAnsiTheme="majorBidi" w:cs="B Nazanin"/>
          <w:color w:val="222222"/>
          <w:rtl/>
        </w:rPr>
        <w:t xml:space="preserve">مونوگراف </w:t>
      </w:r>
      <w:r w:rsidRPr="00AE37F2">
        <w:rPr>
          <w:rFonts w:asciiTheme="majorBidi" w:eastAsia="Times New Roman" w:hAnsiTheme="majorBidi" w:cs="B Nazanin"/>
          <w:color w:val="222222"/>
        </w:rPr>
        <w:t>FDA</w:t>
      </w:r>
      <w:r w:rsidRPr="00AE37F2">
        <w:rPr>
          <w:rFonts w:asciiTheme="majorBidi" w:eastAsia="Times New Roman" w:hAnsiTheme="majorBidi" w:cs="B Nazanin"/>
          <w:color w:val="222222"/>
          <w:rtl/>
        </w:rPr>
        <w:t xml:space="preserve"> و </w:t>
      </w:r>
      <w:proofErr w:type="spellStart"/>
      <w:r w:rsidRPr="00BE13D2">
        <w:rPr>
          <w:rFonts w:asciiTheme="majorBidi" w:eastAsia="Times New Roman" w:hAnsiTheme="majorBidi" w:cstheme="majorBidi"/>
          <w:color w:val="222222"/>
        </w:rPr>
        <w:t>UpToDate</w:t>
      </w:r>
      <w:proofErr w:type="spellEnd"/>
    </w:p>
    <w:p w14:paraId="546EB370" w14:textId="07849B96" w:rsidR="00BE13D2" w:rsidRDefault="00BE13D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</w:t>
      </w:r>
    </w:p>
    <w:p w14:paraId="6E1F04E9" w14:textId="77777777" w:rsidR="00BE13D2" w:rsidRDefault="00BE13D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F98309" w14:textId="35E6B0F2" w:rsidR="00080332" w:rsidRPr="00080332" w:rsidRDefault="00080332" w:rsidP="00BE13D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گروه پایش ایمنی</w:t>
      </w:r>
      <w:r w:rsidR="004137AF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مصرف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F10F9"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="00DF10F9" w:rsidRPr="00080332" w:rsidDel="00DF10F9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741D4207" w14:textId="77777777" w:rsidR="007D570E" w:rsidRPr="00080332" w:rsidRDefault="007D570E" w:rsidP="0093084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دفتر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نظارت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مصرف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فرآورده‌های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سلامت</w:t>
      </w:r>
    </w:p>
    <w:p w14:paraId="28257E9A" w14:textId="43479213" w:rsidR="00B646FD" w:rsidRPr="00080332" w:rsidRDefault="007D570E" w:rsidP="00930842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سازمان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غذا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دارو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وزارت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بهداشت،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درمان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آموزش</w:t>
      </w:r>
      <w:r w:rsidRPr="00080332">
        <w:rPr>
          <w:rFonts w:ascii="Times New Roman" w:hAnsi="Times New Roman" w:cs="B Nazanin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80332">
        <w:rPr>
          <w:rFonts w:ascii="Times New Roman" w:hAnsi="Times New Roman" w:cs="B Nazanin" w:hint="cs"/>
          <w:b/>
          <w:bCs/>
          <w:color w:val="002060"/>
          <w:sz w:val="2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پزشکی</w:t>
      </w:r>
    </w:p>
    <w:sectPr w:rsidR="00B646FD" w:rsidRPr="00080332" w:rsidSect="001A07FA">
      <w:pgSz w:w="11906" w:h="16838" w:code="9"/>
      <w:pgMar w:top="1134" w:right="851" w:bottom="630" w:left="851" w:header="720" w:footer="720" w:gutter="0"/>
      <w:pgBorders w:offsetFrom="page">
        <w:top w:val="threeDEngrave" w:sz="6" w:space="24" w:color="501549" w:themeColor="accent5" w:themeShade="80"/>
        <w:left w:val="threeDEngrave" w:sz="6" w:space="24" w:color="501549" w:themeColor="accent5" w:themeShade="80"/>
        <w:bottom w:val="threeDEmboss" w:sz="6" w:space="24" w:color="501549" w:themeColor="accent5" w:themeShade="80"/>
        <w:right w:val="threeDEmboss" w:sz="6" w:space="24" w:color="501549" w:themeColor="accent5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0F3"/>
    <w:multiLevelType w:val="hybridMultilevel"/>
    <w:tmpl w:val="72B4C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D4414"/>
    <w:multiLevelType w:val="multilevel"/>
    <w:tmpl w:val="F81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0A6A93"/>
    <w:multiLevelType w:val="multilevel"/>
    <w:tmpl w:val="B7FE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22714"/>
    <w:multiLevelType w:val="multilevel"/>
    <w:tmpl w:val="BC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195FAB"/>
    <w:multiLevelType w:val="multilevel"/>
    <w:tmpl w:val="EF1C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2F1AF8"/>
    <w:multiLevelType w:val="multilevel"/>
    <w:tmpl w:val="8AF0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C37EF2"/>
    <w:multiLevelType w:val="hybridMultilevel"/>
    <w:tmpl w:val="CE120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D16C7"/>
    <w:multiLevelType w:val="multilevel"/>
    <w:tmpl w:val="29982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5270B"/>
    <w:multiLevelType w:val="hybridMultilevel"/>
    <w:tmpl w:val="305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9D4"/>
    <w:multiLevelType w:val="hybridMultilevel"/>
    <w:tmpl w:val="C90C7B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E767D"/>
    <w:multiLevelType w:val="multilevel"/>
    <w:tmpl w:val="D3F4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B80FD3"/>
    <w:multiLevelType w:val="multilevel"/>
    <w:tmpl w:val="A4A4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ECA05AE"/>
    <w:multiLevelType w:val="multilevel"/>
    <w:tmpl w:val="420E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166CF6"/>
    <w:multiLevelType w:val="multilevel"/>
    <w:tmpl w:val="C3D6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5667503"/>
    <w:multiLevelType w:val="hybridMultilevel"/>
    <w:tmpl w:val="6E6CA2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44145"/>
    <w:multiLevelType w:val="multilevel"/>
    <w:tmpl w:val="7FBA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4487811"/>
    <w:multiLevelType w:val="multilevel"/>
    <w:tmpl w:val="D51A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70A36DA"/>
    <w:multiLevelType w:val="multilevel"/>
    <w:tmpl w:val="F2C03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6E6A8A"/>
    <w:multiLevelType w:val="multilevel"/>
    <w:tmpl w:val="0F84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143C3D"/>
    <w:multiLevelType w:val="multilevel"/>
    <w:tmpl w:val="60C2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BC63F3B"/>
    <w:multiLevelType w:val="hybridMultilevel"/>
    <w:tmpl w:val="D190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2"/>
  </w:num>
  <w:num w:numId="5">
    <w:abstractNumId w:val="4"/>
  </w:num>
  <w:num w:numId="6">
    <w:abstractNumId w:val="11"/>
  </w:num>
  <w:num w:numId="7">
    <w:abstractNumId w:val="15"/>
  </w:num>
  <w:num w:numId="8">
    <w:abstractNumId w:val="19"/>
  </w:num>
  <w:num w:numId="9">
    <w:abstractNumId w:val="17"/>
  </w:num>
  <w:num w:numId="10">
    <w:abstractNumId w:val="18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EB"/>
    <w:rsid w:val="00004287"/>
    <w:rsid w:val="00080332"/>
    <w:rsid w:val="000B0934"/>
    <w:rsid w:val="00122C09"/>
    <w:rsid w:val="001420DE"/>
    <w:rsid w:val="00163FAF"/>
    <w:rsid w:val="00186A2A"/>
    <w:rsid w:val="001A07FA"/>
    <w:rsid w:val="001C63A6"/>
    <w:rsid w:val="00222662"/>
    <w:rsid w:val="0022766E"/>
    <w:rsid w:val="00284165"/>
    <w:rsid w:val="002B0F87"/>
    <w:rsid w:val="002B29C8"/>
    <w:rsid w:val="00305D98"/>
    <w:rsid w:val="00311341"/>
    <w:rsid w:val="00316871"/>
    <w:rsid w:val="00335193"/>
    <w:rsid w:val="0034284B"/>
    <w:rsid w:val="00350484"/>
    <w:rsid w:val="004137AF"/>
    <w:rsid w:val="004958F6"/>
    <w:rsid w:val="004A5498"/>
    <w:rsid w:val="004F761B"/>
    <w:rsid w:val="00512EDE"/>
    <w:rsid w:val="00537C14"/>
    <w:rsid w:val="00561A7A"/>
    <w:rsid w:val="00580396"/>
    <w:rsid w:val="00580906"/>
    <w:rsid w:val="00581477"/>
    <w:rsid w:val="0058317A"/>
    <w:rsid w:val="0059414D"/>
    <w:rsid w:val="00596831"/>
    <w:rsid w:val="005C060F"/>
    <w:rsid w:val="005E5889"/>
    <w:rsid w:val="006212D3"/>
    <w:rsid w:val="0064098E"/>
    <w:rsid w:val="006F2BA7"/>
    <w:rsid w:val="00715524"/>
    <w:rsid w:val="007D5579"/>
    <w:rsid w:val="007D570E"/>
    <w:rsid w:val="007E4B42"/>
    <w:rsid w:val="007F1942"/>
    <w:rsid w:val="008055C2"/>
    <w:rsid w:val="00841594"/>
    <w:rsid w:val="008B6AE8"/>
    <w:rsid w:val="008C6503"/>
    <w:rsid w:val="008F7290"/>
    <w:rsid w:val="009069E5"/>
    <w:rsid w:val="00930842"/>
    <w:rsid w:val="00942D69"/>
    <w:rsid w:val="0096455F"/>
    <w:rsid w:val="00964B58"/>
    <w:rsid w:val="009B5C12"/>
    <w:rsid w:val="009E783B"/>
    <w:rsid w:val="009F08E2"/>
    <w:rsid w:val="009F5000"/>
    <w:rsid w:val="00A00281"/>
    <w:rsid w:val="00A767B2"/>
    <w:rsid w:val="00A928D0"/>
    <w:rsid w:val="00AD1E18"/>
    <w:rsid w:val="00AE1E34"/>
    <w:rsid w:val="00AE37F2"/>
    <w:rsid w:val="00B010DA"/>
    <w:rsid w:val="00B15735"/>
    <w:rsid w:val="00B509EB"/>
    <w:rsid w:val="00B61825"/>
    <w:rsid w:val="00B646FD"/>
    <w:rsid w:val="00B83EAA"/>
    <w:rsid w:val="00BB1FF4"/>
    <w:rsid w:val="00BD2B52"/>
    <w:rsid w:val="00BD7830"/>
    <w:rsid w:val="00BE13D2"/>
    <w:rsid w:val="00BF3C21"/>
    <w:rsid w:val="00C65CC6"/>
    <w:rsid w:val="00CC090E"/>
    <w:rsid w:val="00CD2F6F"/>
    <w:rsid w:val="00D405DE"/>
    <w:rsid w:val="00DD4A33"/>
    <w:rsid w:val="00DF10F9"/>
    <w:rsid w:val="00E47047"/>
    <w:rsid w:val="00E83688"/>
    <w:rsid w:val="00EB6AAA"/>
    <w:rsid w:val="00EF2E7A"/>
    <w:rsid w:val="00F47108"/>
    <w:rsid w:val="00F60F4C"/>
    <w:rsid w:val="00F6664B"/>
    <w:rsid w:val="00F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5C5214B"/>
  <w15:chartTrackingRefBased/>
  <w15:docId w15:val="{803F7630-F755-48E6-AAD6-B6C7F1FA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9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9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9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9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9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9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9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9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9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9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9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9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9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9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9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9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9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9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9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9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9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9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9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9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9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9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9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9EB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90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28635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144068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147937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5916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902893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986341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470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8681316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650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1902233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736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998193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012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002822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09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024589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175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9120047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028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274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4287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38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6176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5212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4017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11126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auto"/>
                                            <w:left w:val="single" w:sz="12" w:space="0" w:color="auto"/>
                                            <w:bottom w:val="single" w:sz="12" w:space="0" w:color="auto"/>
                                            <w:right w:val="single" w:sz="12" w:space="0" w:color="auto"/>
                                          </w:divBdr>
                                          <w:divsChild>
                                            <w:div w:id="1119030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84308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48675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22082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28870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627BD-B7B4-404F-8E51-EA7C4B29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 Kargar</dc:creator>
  <cp:keywords/>
  <dc:description/>
  <cp:lastModifiedBy>Marjan Karimi</cp:lastModifiedBy>
  <cp:revision>2</cp:revision>
  <dcterms:created xsi:type="dcterms:W3CDTF">2025-05-24T06:31:00Z</dcterms:created>
  <dcterms:modified xsi:type="dcterms:W3CDTF">2025-05-24T06:31:00Z</dcterms:modified>
</cp:coreProperties>
</file>